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A" w:rsidRPr="0003644A" w:rsidRDefault="0003644A" w:rsidP="0003644A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03644A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03644A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M</w:t>
      </w:r>
      <w:proofErr w:type="gramEnd"/>
      <w:r w:rsidRPr="0003644A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инздравсоцразвития</w:t>
      </w:r>
      <w:proofErr w:type="spellEnd"/>
      <w:r w:rsidRPr="0003644A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26 августа 2010 г. N 761н г. Москва</w:t>
      </w:r>
    </w:p>
    <w:p w:rsidR="0003644A" w:rsidRPr="0003644A" w:rsidRDefault="0003644A" w:rsidP="0003644A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03644A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 </w:t>
      </w:r>
      <w:hyperlink r:id="rId5" w:anchor="comments" w:history="1">
        <w:r w:rsidRPr="0003644A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17</w:t>
        </w:r>
      </w:hyperlink>
    </w:p>
    <w:p w:rsidR="0003644A" w:rsidRPr="0003644A" w:rsidRDefault="0003644A" w:rsidP="0003644A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bookmarkStart w:id="0" w:name="_GoBack"/>
      <w:bookmarkEnd w:id="0"/>
      <w:r w:rsidRPr="0003644A">
        <w:rPr>
          <w:rFonts w:ascii="Arial" w:eastAsia="Times New Roman" w:hAnsi="Arial" w:cs="Arial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03644A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20 октября 2010 г.</w:t>
      </w:r>
    </w:p>
    <w:p w:rsidR="0003644A" w:rsidRPr="0003644A" w:rsidRDefault="0003644A" w:rsidP="000364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03644A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03644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20 октября 2010 г. в </w:t>
      </w:r>
      <w:hyperlink r:id="rId6" w:history="1">
        <w:r w:rsidRPr="0003644A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№5316</w:t>
        </w:r>
        <w:proofErr w:type="gramStart"/>
      </w:hyperlink>
      <w:r w:rsidRPr="0003644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03644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03644A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</w:t>
      </w:r>
      <w:proofErr w:type="gramEnd"/>
      <w:r w:rsidRPr="0003644A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ступает в силу:</w:t>
      </w:r>
      <w:r w:rsidRPr="0003644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31 октября 2010 г. 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6 октября 2010 г. Регистрационный N 18638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)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ст. 1036;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2010, N 4, ст. 394; N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11, ст. 1225; N 25, ст. 3167; N 26, ст. 3350; N 31, 4251), </w:t>
      </w: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Т. Голикова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Приложение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Раздел "Квалификационные характеристики должностей работников образования"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предназначен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9.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Должности руководителей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Руководитель (директор, заведующий, начальник) образовательного учреждения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Заместитель руководителя (директора, заведующего, начальника) образовательного учреждения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спортивнуюдеятельность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выполнением плановых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внеучебной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Старший мастер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Должности педагогических работников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Учитель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предмету (курсу, программе) с практикой, обсуждает с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обучающимися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обучающимися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Преподаватель</w:t>
      </w: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vertAlign w:val="superscript"/>
          <w:lang w:eastAsia="ru-RU"/>
        </w:rPr>
        <w:t>1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обучающимися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 по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преподаваемому предмету;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Педагог-организатор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Организует вечера, праздники, походы, экскурсии;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Социальный педагог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комплекс мероприятий по воспитанию, образованию, развитию и социальной защите личности в учреждениях, организациях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девиантным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поведением, а также попавшим в экстремальные ситуации.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развивающего обучения; основы работы с персональным компьютером, с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Учитель-дефектолог, учитель-логопед (логопед)</w:t>
      </w: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vertAlign w:val="superscript"/>
          <w:lang w:eastAsia="ru-RU"/>
        </w:rPr>
        <w:t>2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поздноослепших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консультативной помощи родителям (лицам, их заменяющим).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Педагог-психолог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дезадаптации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психокоррекционного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психокоррекционную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учреждения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обучающимися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пато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психологию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психосоматику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профессиоведения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психопрофилактики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профконсультации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трудового распорядка образовательного учреждения; правила по охране труда и пожарной безопасности.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Воспитатель (включая </w:t>
      </w: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старшего</w:t>
      </w:r>
      <w:proofErr w:type="gramEnd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)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Тьютор</w:t>
      </w: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vertAlign w:val="superscript"/>
          <w:lang w:eastAsia="ru-RU"/>
        </w:rPr>
        <w:t>4</w:t>
      </w:r>
      <w:proofErr w:type="gramEnd"/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предпрофильной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Совместно с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предпрофильной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этой взаимосвязи. Оказывает помощь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обучающемуся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пути своего образования.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обучающимися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тьюторские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технологии; методы управления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Старший вожатый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индивидуальные и возрастные особенности обучающихся, воспитанников, детей;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Педагог дополнительного образования (включая старшего)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Музыкальный руководитель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Концертмейстер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обучающимися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Обеспечивает профессиональное исполнение музыкального материала на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Руководитель физического воспитания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обучающимися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тестирования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по физической подготовке. Обеспечивает организацию и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проведение оздоровительных физкультурных мероприятий во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внеучебное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Инструктор по физической культуре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Организует активный отдых обучающихся, воспитанников в режиме учебного 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внеучебного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Методист (включая </w:t>
      </w: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старшего</w:t>
      </w:r>
      <w:proofErr w:type="gramEnd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)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Инструктор-методист (включая </w:t>
      </w: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старшего</w:t>
      </w:r>
      <w:proofErr w:type="gramEnd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)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медслужбой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Инструктор по труду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профориентационную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предпрофильной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профориентационной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Преподаватель-организатор основ безопасности жизнедеятельности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обучение и воспитание обучающихся, воспитанников с учетом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специфики курсов основ безопасности жизнедеятельности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Высшее профессиональное образование и профессиональная подготовка по направлению подготовки "Образование и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не менее 3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Тренер-преподаватель (включая </w:t>
      </w: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старшего</w:t>
      </w:r>
      <w:proofErr w:type="gramEnd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)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Организует разнообразные виды деятельности обучающихся, воспитанников,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т.ч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Мастер производственного обучения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компетентностного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подхода;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Должности учебно-вспомогательного персонала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Дежурный по режиму (включая </w:t>
      </w: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старшего</w:t>
      </w:r>
      <w:proofErr w:type="gramEnd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)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Осуществляет постоянное наблюдение за поведением воспитанников с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девиантным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дня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Вожатый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Должностные обязанности.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Должен знать: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Помощник воспитателя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Младший воспитатель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Секретарь учебной части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распоряжений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>Требования к квалификации.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Диспетчер образовательного учреждения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Должностные обязанности.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внеучебных</w:t>
      </w:r>
      <w:proofErr w:type="spellEnd"/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Должен знать: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Требования к квалификации. </w:t>
      </w:r>
      <w:r w:rsidRPr="0003644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proofErr w:type="gramStart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К</w:t>
      </w:r>
      <w:proofErr w:type="gramEnd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роме преподавателей, отнесенных к профессорско-преподавательскому составу вузов.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3</w:t>
      </w:r>
      <w:proofErr w:type="gramStart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З</w:t>
      </w:r>
      <w:proofErr w:type="gramEnd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03644A" w:rsidRPr="0003644A" w:rsidRDefault="0003644A" w:rsidP="0003644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З</w:t>
      </w:r>
      <w:proofErr w:type="gramEnd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а исключением </w:t>
      </w:r>
      <w:proofErr w:type="spellStart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тьюторов</w:t>
      </w:r>
      <w:proofErr w:type="spellEnd"/>
      <w:r w:rsidRPr="0003644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, занятых в сфере высшего и дополнительного профессионального образования.</w:t>
      </w:r>
    </w:p>
    <w:p w:rsidR="00DD7769" w:rsidRDefault="00DD7769"/>
    <w:sectPr w:rsidR="00DD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3"/>
    <w:rsid w:val="0003644A"/>
    <w:rsid w:val="000A4503"/>
    <w:rsid w:val="00DD7769"/>
    <w:rsid w:val="00E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44A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03644A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03644A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3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44A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03644A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03644A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3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88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345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2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83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4353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5013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0/10/20.html" TargetMode="External"/><Relationship Id="rId5" Type="http://schemas.openxmlformats.org/officeDocument/2006/relationships/hyperlink" Target="http://www.rg.ru/2010/10/20/teacher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20051</Words>
  <Characters>114297</Characters>
  <Application>Microsoft Office Word</Application>
  <DocSecurity>0</DocSecurity>
  <Lines>952</Lines>
  <Paragraphs>268</Paragraphs>
  <ScaleCrop>false</ScaleCrop>
  <Company>Hewlett-Packard</Company>
  <LinksUpToDate>false</LinksUpToDate>
  <CharactersWithSpaces>134080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3</cp:revision>
  <dcterms:created xsi:type="dcterms:W3CDTF">2013-04-24T15:53:00Z</dcterms:created>
  <dcterms:modified xsi:type="dcterms:W3CDTF">2013-04-25T10:05:00Z</dcterms:modified>
</cp:coreProperties>
</file>